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bidi w:val="1"/>
        <w:contextualSpacing w:val="0"/>
        <w:jc w:val="center"/>
        <w:rPr/>
      </w:pPr>
      <w:bookmarkStart w:colFirst="0" w:colLast="0" w:name="_xgrwm6ddoeau" w:id="0"/>
      <w:bookmarkEnd w:id="0"/>
      <w:r w:rsidDel="00000000" w:rsidR="00000000" w:rsidRPr="00000000">
        <w:rPr>
          <w:rFonts w:ascii="Arial" w:cs="Arial" w:eastAsia="Arial" w:hAnsi="Arial"/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שיפוץ</w:t>
      </w:r>
    </w:p>
    <w:p w:rsidR="00000000" w:rsidDel="00000000" w:rsidP="00000000" w:rsidRDefault="00000000" w:rsidRPr="00000000" w14:paraId="00000001">
      <w:pPr>
        <w:bidi w:val="1"/>
        <w:spacing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שנערך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ונחתם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____________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__________________</w:t>
      </w:r>
    </w:p>
    <w:p w:rsidR="00000000" w:rsidDel="00000000" w:rsidP="00000000" w:rsidRDefault="00000000" w:rsidRPr="00000000" w14:paraId="00000003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  <w:tab/>
        <w:tab/>
        <w:t xml:space="preserve">________________________________________ </w:t>
      </w:r>
    </w:p>
    <w:p w:rsidR="00000000" w:rsidDel="00000000" w:rsidP="00000000" w:rsidRDefault="00000000" w:rsidRPr="00000000" w14:paraId="00000005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מרח</w:t>
      </w:r>
      <w:r w:rsidDel="00000000" w:rsidR="00000000" w:rsidRPr="00000000">
        <w:rPr>
          <w:rFonts w:ascii="Arial" w:cs="Arial" w:eastAsia="Arial" w:hAnsi="Arial"/>
          <w:rtl w:val="1"/>
        </w:rPr>
        <w:t xml:space="preserve">':</w:t>
        <w:tab/>
        <w:tab/>
        <w:t xml:space="preserve">________________________________________</w:t>
      </w:r>
    </w:p>
    <w:p w:rsidR="00000000" w:rsidDel="00000000" w:rsidP="00000000" w:rsidRDefault="00000000" w:rsidRPr="00000000" w14:paraId="00000006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 xml:space="preserve"> </w:t>
        <w:tab/>
        <w:t xml:space="preserve">________________________________________</w:t>
      </w:r>
    </w:p>
    <w:p w:rsidR="00000000" w:rsidDel="00000000" w:rsidP="00000000" w:rsidRDefault="00000000" w:rsidRPr="00000000" w14:paraId="00000007">
      <w:pPr>
        <w:bidi w:val="1"/>
        <w:spacing w:line="240" w:lineRule="auto"/>
        <w:ind w:left="6480" w:firstLine="720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</w:p>
    <w:p w:rsidR="00000000" w:rsidDel="00000000" w:rsidP="00000000" w:rsidRDefault="00000000" w:rsidRPr="00000000" w14:paraId="00000008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ab/>
        <w:t xml:space="preserve">________________________________________</w:t>
      </w:r>
    </w:p>
    <w:p w:rsidR="00000000" w:rsidDel="00000000" w:rsidP="00000000" w:rsidRDefault="00000000" w:rsidRPr="00000000" w14:paraId="0000000A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מרח</w:t>
      </w:r>
      <w:r w:rsidDel="00000000" w:rsidR="00000000" w:rsidRPr="00000000">
        <w:rPr>
          <w:rFonts w:ascii="Arial" w:cs="Arial" w:eastAsia="Arial" w:hAnsi="Arial"/>
          <w:rtl w:val="1"/>
        </w:rPr>
        <w:t xml:space="preserve">':</w:t>
        <w:tab/>
        <w:tab/>
        <w:t xml:space="preserve">________________________________________</w:t>
      </w:r>
    </w:p>
    <w:p w:rsidR="00000000" w:rsidDel="00000000" w:rsidP="00000000" w:rsidRDefault="00000000" w:rsidRPr="00000000" w14:paraId="0000000B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 xml:space="preserve">________________________________________</w:t>
      </w:r>
    </w:p>
    <w:p w:rsidR="00000000" w:rsidDel="00000000" w:rsidP="00000000" w:rsidRDefault="00000000" w:rsidRPr="00000000" w14:paraId="0000000C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שני</w:t>
      </w:r>
    </w:p>
    <w:p w:rsidR="00000000" w:rsidDel="00000000" w:rsidP="00000000" w:rsidRDefault="00000000" w:rsidRPr="00000000" w14:paraId="0000000E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הואיל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הבעלים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והמחזיק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הנמצאת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________________ [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הדירה</w:t>
      </w:r>
      <w:r w:rsidDel="00000000" w:rsidR="00000000" w:rsidRPr="00000000">
        <w:rPr>
          <w:rFonts w:ascii="Arial" w:cs="Arial" w:eastAsia="Arial" w:hAnsi="Arial"/>
          <w:rtl w:val="0"/>
        </w:rPr>
        <w:t xml:space="preserve">].</w:t>
      </w:r>
    </w:p>
    <w:p w:rsidR="00000000" w:rsidDel="00000000" w:rsidP="00000000" w:rsidRDefault="00000000" w:rsidRPr="00000000" w14:paraId="00000011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והואיל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מעוניין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והואיל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מעוניין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0"/>
        </w:rPr>
        <w:t xml:space="preserve">").</w:t>
      </w:r>
    </w:p>
    <w:p w:rsidR="00000000" w:rsidDel="00000000" w:rsidP="00000000" w:rsidRDefault="00000000" w:rsidRPr="00000000" w14:paraId="00000013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והואיל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מעוניין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בתנאים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המפורטים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לפיכך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הוצהר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והותנה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כדלקמן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המבוא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נפרד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שלוחיו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פועל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הכרוכות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המבנה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ובחיזוקו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כוחו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לשביעות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לנספחים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האדריכלות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הקונסטרוקציה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שיימסרו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המהנדס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האדריכל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שימונה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להחליף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מהנדס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אדריכל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כרצונו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כישורים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ומקצועי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הציוד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והאמצעים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ביקר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ובחן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וסביבתה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וקרא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במיומנות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מקצועית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באביזרים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בציוד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תקניים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בכפוף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לסעיף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דרישת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מצהירים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ומאשרים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עצמאי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יחסי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מעביד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אמצעי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להבטיח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ובשום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כעובד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ולמלא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הבטיחות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משרד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מוסמך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ולנקוט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אמצעי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והבטיחות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הדרושים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ובסביבתו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1"/>
        <w:bidi w:val="1"/>
        <w:spacing w:line="240" w:lineRule="auto"/>
        <w:contextualSpacing w:val="0"/>
        <w:rPr/>
      </w:pPr>
      <w:bookmarkStart w:colFirst="0" w:colLast="0" w:name="_fx59dtihzkrj" w:id="1"/>
      <w:bookmarkEnd w:id="1"/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וחומרי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הבנייה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יידרשו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התוכניות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יקנו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ויסופקו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שאספקת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העמסת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הובלתם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פירוקם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ואחסנתם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ציוד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אביזרים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שירכוש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והשלמתה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ישונע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3">
      <w:pPr>
        <w:pStyle w:val="Heading1"/>
        <w:bidi w:val="1"/>
        <w:spacing w:line="240" w:lineRule="auto"/>
        <w:contextualSpacing w:val="0"/>
        <w:rPr/>
      </w:pPr>
      <w:bookmarkStart w:colFirst="0" w:colLast="0" w:name="_9gezsxie0gmj" w:id="2"/>
      <w:bookmarkEnd w:id="2"/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ומשכה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_________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התחלת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".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איחור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בהתחלת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במסירת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כספי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_______₪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איחור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מנסיבות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התלויות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עיכוב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בנסיבות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התלויות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יידחה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מקבילה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לעכב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בנכס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קלנדריים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רציף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פיצוי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קשורות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לספקים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מטבחים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משטחי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דלתות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וכיו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מעבודתו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תיעשה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השלמת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להשלים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בנכס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48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מהודעתו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הטלפונית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תחילת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המקובלים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להוציא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ולבצעה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בשקידה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ובקצב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התקדמות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ובכפוף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המפורטת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מעקב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ימציא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התחלת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יפורטו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הפעילויות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המתוכננות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בנכס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8">
      <w:pPr>
        <w:pStyle w:val="Heading1"/>
        <w:bidi w:val="1"/>
        <w:spacing w:line="240" w:lineRule="auto"/>
        <w:contextualSpacing w:val="0"/>
        <w:rPr/>
      </w:pPr>
      <w:bookmarkStart w:colFirst="0" w:colLast="0" w:name="_h3e2o4dwwa7w" w:id="3"/>
      <w:bookmarkEnd w:id="3"/>
      <w:r w:rsidDel="00000000" w:rsidR="00000000" w:rsidRPr="00000000">
        <w:rPr>
          <w:rFonts w:ascii="Arial" w:cs="Arial" w:eastAsia="Arial" w:hAnsi="Arial"/>
          <w:rtl w:val="1"/>
        </w:rPr>
        <w:t xml:space="preserve">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נוכחים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הבנייה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המותרות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______.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העתק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ולרבות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התוכניות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יוחזקו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השיפוץ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לשימושם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ועיונם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והפיקוח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1"/>
        <w:bidi w:val="1"/>
        <w:spacing w:line="240" w:lineRule="auto"/>
        <w:contextualSpacing w:val="0"/>
        <w:rPr/>
      </w:pPr>
      <w:bookmarkStart w:colFirst="0" w:colLast="0" w:name="_z9mx84kyn3xc" w:id="4"/>
      <w:bookmarkEnd w:id="4"/>
      <w:r w:rsidDel="00000000" w:rsidR="00000000" w:rsidRPr="00000000">
        <w:rPr>
          <w:rFonts w:ascii="Arial" w:cs="Arial" w:eastAsia="Arial" w:hAnsi="Arial"/>
          <w:rtl w:val="1"/>
        </w:rPr>
        <w:t xml:space="preserve">פיקוח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לגרוע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</w:t>
      </w:r>
      <w:r w:rsidDel="00000000" w:rsidR="00000000" w:rsidRPr="00000000">
        <w:rPr>
          <w:rFonts w:ascii="Arial" w:cs="Arial" w:eastAsia="Arial" w:hAnsi="Arial"/>
          <w:rtl w:val="1"/>
        </w:rPr>
        <w:t xml:space="preserve">' 4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כדלקמן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זכאים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וסוג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האביזרים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הבדיקה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הדרישה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ולסלק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לתקן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להחליף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אביזר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שיידרש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הנקובה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הוצאות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הבדיקות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ידרשו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שידרשו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המפקח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הבדיקות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תערכנה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בהוצאות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הבדיקה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במידה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ונמצא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באיכות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הנובע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ממחדל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בהוצאות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הבדיקה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0">
      <w:pPr>
        <w:pStyle w:val="Heading1"/>
        <w:bidi w:val="1"/>
        <w:spacing w:line="240" w:lineRule="auto"/>
        <w:contextualSpacing w:val="0"/>
        <w:rPr/>
      </w:pPr>
      <w:bookmarkStart w:colFirst="0" w:colLast="0" w:name="_ies4n4n3d2pe" w:id="5"/>
      <w:bookmarkEnd w:id="5"/>
      <w:r w:rsidDel="00000000" w:rsidR="00000000" w:rsidRPr="00000000">
        <w:rPr>
          <w:rFonts w:ascii="Arial" w:cs="Arial" w:eastAsia="Arial" w:hAnsi="Arial"/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בעבודה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bidi w:val="1"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bidi w:val="1"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כוחו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bidi w:val="1"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ברירתו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rtl w:val="1"/>
        </w:rPr>
        <w:t xml:space="preserve"> 20,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יחויב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יזוכה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bidi w:val="1"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חישוב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התוספת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ההפחתה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עפ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1"/>
        </w:rPr>
        <w:t xml:space="preserve">'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המצורף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bidi w:val="1"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נמצאה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דומה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יתומחר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השינוי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למחירון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המאגר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המשולב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המעודכן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בניכוי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%____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bidi w:val="1"/>
        <w:spacing w:line="240" w:lineRule="auto"/>
        <w:contextualSpacing w:val="0"/>
        <w:rPr/>
      </w:pPr>
      <w:bookmarkStart w:colFirst="0" w:colLast="0" w:name="_wj5ir4iz4ds8" w:id="6"/>
      <w:bookmarkEnd w:id="6"/>
      <w:r w:rsidDel="00000000" w:rsidR="00000000" w:rsidRPr="00000000">
        <w:rPr>
          <w:rFonts w:ascii="Arial" w:cs="Arial" w:eastAsia="Arial" w:hAnsi="Arial"/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תיקון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התאמה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יתהווה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הוסב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קיומו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ההתאמה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23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מותנה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התהוות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הפגם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ההתאמה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וכנגזרת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נובעים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גרועה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גרועים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בתום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שיגישו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התיקונים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הראויים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התהוות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ליקוי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התאמה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יבצע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התיקון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מוקדם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ובסמוך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טלפונית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לגרוע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מאחריותו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ליקוי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התאמות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שיתגלו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תקופות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והנובעים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מרשלנות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משימוש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גרועים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הבדק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התקופה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הקבועה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התשל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rtl w:val="1"/>
        </w:rPr>
        <w:t xml:space="preserve"> 1973.</w:t>
      </w:r>
    </w:p>
    <w:p w:rsidR="00000000" w:rsidDel="00000000" w:rsidP="00000000" w:rsidRDefault="00000000" w:rsidRPr="00000000" w14:paraId="0000003E">
      <w:pPr>
        <w:pStyle w:val="Heading1"/>
        <w:bidi w:val="1"/>
        <w:spacing w:line="240" w:lineRule="auto"/>
        <w:contextualSpacing w:val="0"/>
        <w:rPr/>
      </w:pPr>
      <w:bookmarkStart w:colFirst="0" w:colLast="0" w:name="_pzo5t2ad8ce2" w:id="7"/>
      <w:bookmarkEnd w:id="7"/>
      <w:r w:rsidDel="00000000" w:rsidR="00000000" w:rsidRPr="00000000">
        <w:rPr>
          <w:rFonts w:ascii="Arial" w:cs="Arial" w:eastAsia="Arial" w:hAnsi="Arial"/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לנזק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יתהווה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לגופו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לרכושו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העובדים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משחרר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לתאונה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שיגרמו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יחויב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מחדל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rtl w:val="1"/>
        </w:rPr>
        <w:t xml:space="preserve"> 29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לשפותו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במלוא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הסכום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ייקבע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בפסק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הודיע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תביעת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הניזוק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הגשתה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1">
      <w:pPr>
        <w:pStyle w:val="Heading1"/>
        <w:bidi w:val="1"/>
        <w:spacing w:line="240" w:lineRule="auto"/>
        <w:contextualSpacing w:val="0"/>
        <w:rPr/>
      </w:pPr>
      <w:bookmarkStart w:colFirst="0" w:colLast="0" w:name="_5ybrsqz65dmv" w:id="8"/>
      <w:bookmarkEnd w:id="8"/>
      <w:r w:rsidDel="00000000" w:rsidR="00000000" w:rsidRPr="00000000">
        <w:rPr>
          <w:rFonts w:ascii="Arial" w:cs="Arial" w:eastAsia="Arial" w:hAnsi="Arial"/>
          <w:rtl w:val="1"/>
        </w:rPr>
        <w:t xml:space="preserve">תמורה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ערך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נאמד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__________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ייקבע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ועריכת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החשבון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בכפוף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לתנאים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ולסייגים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bidi w:val="1"/>
        <w:spacing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ומוצהר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חושבה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).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תשולם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במועדים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ובאופן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הבא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שישי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תיערך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התחשבנות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המופיעות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ובהתאם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להתקדמות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תחושב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היחסית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יבדוק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החשבון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שהוגש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וישלם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הסכום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הסמוך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למועד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ההתחשבנות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שיאושר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ינוכה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עיכבון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ועריכת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חשבון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סופית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וכוללת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למדד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כלשהוא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bidi w:val="1"/>
        <w:spacing w:line="240" w:lineRule="auto"/>
        <w:contextualSpacing w:val="0"/>
        <w:rPr/>
      </w:pPr>
      <w:bookmarkStart w:colFirst="0" w:colLast="0" w:name="_o5ughg77mbtr" w:id="9"/>
      <w:bookmarkEnd w:id="9"/>
      <w:r w:rsidDel="00000000" w:rsidR="00000000" w:rsidRPr="00000000">
        <w:rPr>
          <w:rFonts w:ascii="Arial" w:cs="Arial" w:eastAsia="Arial" w:hAnsi="Arial"/>
          <w:rtl w:val="1"/>
        </w:rPr>
        <w:t xml:space="preserve">כללי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יבוצעו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קשורות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ושיפוצים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יעכבו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יפריעו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לעבודות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להיתרי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ידרשו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היתרי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כתובות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כמופיעות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בראש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שתישלח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למשנהו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רשום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כמתקבלת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כעבור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המשלוח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שתהא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סתירה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יחולו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תהא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המתאים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הסמכות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העניינית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והנמצא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בעיר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___________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סמכות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השיפוט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הייחודית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bidi w:val="1"/>
        <w:spacing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ולראיה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החתום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הקבלן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52">
      <w:pPr>
        <w:bidi w:val="1"/>
        <w:spacing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  <w:tab/>
        <w:t xml:space="preserve">________________</w:t>
      </w:r>
    </w:p>
    <w:p w:rsidR="00000000" w:rsidDel="00000000" w:rsidP="00000000" w:rsidRDefault="00000000" w:rsidRPr="00000000" w14:paraId="00000054">
      <w:pPr>
        <w:pStyle w:val="Heading1"/>
        <w:bidi w:val="1"/>
        <w:spacing w:line="240" w:lineRule="auto"/>
        <w:contextualSpacing w:val="0"/>
        <w:rPr/>
      </w:pPr>
      <w:bookmarkStart w:colFirst="0" w:colLast="0" w:name="_b1yyof6lk92r" w:id="10"/>
      <w:bookmarkEnd w:id="10"/>
      <w:r w:rsidDel="00000000" w:rsidR="00000000" w:rsidRPr="00000000">
        <w:rPr>
          <w:rFonts w:ascii="Arial" w:cs="Arial" w:eastAsia="Arial" w:hAnsi="Arial"/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הנספחים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הכמויות</w:t>
      </w:r>
    </w:p>
    <w:p w:rsidR="00000000" w:rsidDel="00000000" w:rsidP="00000000" w:rsidRDefault="00000000" w:rsidRPr="00000000" w14:paraId="00000056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האדריכלית</w:t>
      </w:r>
    </w:p>
    <w:p w:rsidR="00000000" w:rsidDel="00000000" w:rsidP="00000000" w:rsidRDefault="00000000" w:rsidRPr="00000000" w14:paraId="00000057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תשלומים</w:t>
      </w:r>
    </w:p>
    <w:p w:rsidR="00000000" w:rsidDel="00000000" w:rsidP="00000000" w:rsidRDefault="00000000" w:rsidRPr="00000000" w14:paraId="00000058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bidi w:val="1"/>
      <w:contextualSpacing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טיוטת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הסכם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זה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u w:val="single"/>
        <w:rtl w:val="1"/>
      </w:rPr>
      <w:t xml:space="preserve">אינה</w:t>
    </w:r>
    <w:r w:rsidDel="00000000" w:rsidR="00000000" w:rsidRPr="00000000">
      <w:rPr>
        <w:rtl w:val="0"/>
      </w:rPr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מהווה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תחליף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לייעוץ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משפטי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אלא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מידע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כללי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בלבד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באדיבות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אתר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18"/>
          <w:szCs w:val="18"/>
          <w:u w:val="single"/>
          <w:rtl w:val="1"/>
        </w:rPr>
        <w:t xml:space="preserve">שיפוצים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18"/>
          <w:szCs w:val="18"/>
          <w:u w:val="single"/>
          <w:rtl w:val="1"/>
        </w:rPr>
        <w:t xml:space="preserve"> </w:t>
      </w:r>
    </w:hyperlink>
    <w:hyperlink r:id="rId3">
      <w:r w:rsidDel="00000000" w:rsidR="00000000" w:rsidRPr="00000000">
        <w:rPr>
          <w:rFonts w:ascii="Arial" w:cs="Arial" w:eastAsia="Arial" w:hAnsi="Arial"/>
          <w:b w:val="1"/>
          <w:color w:val="1155cc"/>
          <w:sz w:val="18"/>
          <w:szCs w:val="18"/>
          <w:u w:val="single"/>
          <w:rtl w:val="1"/>
        </w:rPr>
        <w:t xml:space="preserve">פלוס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5E">
    <w:pPr>
      <w:bidi w:val="1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למידע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נוסף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לגבי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התקשרות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בחוזה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עם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קבלן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שיפוצים</w:t>
    </w: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: </w:t>
    </w:r>
    <w:hyperlink r:id="rId4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http://bit.ly/shipuzHoze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2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z w:val="36"/>
      <w:szCs w:val="36"/>
      <w:u w:val="single"/>
    </w:rPr>
  </w:style>
  <w:style w:type="paragraph" w:styleId="Heading3">
    <w:name w:val="heading 3"/>
    <w:basedOn w:val="Normal"/>
    <w:next w:val="Normal"/>
    <w:pPr/>
    <w:rPr>
      <w:b w:val="1"/>
      <w:color w:val="a61c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hiplus.co.il/?ref=shipuzHozDraft" TargetMode="External"/><Relationship Id="rId2" Type="http://schemas.openxmlformats.org/officeDocument/2006/relationships/hyperlink" Target="https://www.shiplus.co.il/?ref=shipuzHozDraft" TargetMode="External"/><Relationship Id="rId3" Type="http://schemas.openxmlformats.org/officeDocument/2006/relationships/hyperlink" Target="https://www.shiplus.co.il/?ref=shipuzHozDraft" TargetMode="External"/><Relationship Id="rId4" Type="http://schemas.openxmlformats.org/officeDocument/2006/relationships/hyperlink" Target="http://bit.ly/shipuzHo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